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tabs>
          <w:tab w:val="left" w:pos="7695"/>
        </w:tabs>
        <w:spacing w:after="200" w:line="480" w:lineRule="auto"/>
        <w:rPr>
          <w:rFonts w:ascii="Times New Roman" w:eastAsia="Calibri" w:hAnsi="Times New Roman" w:cs="Times New Roman"/>
          <w:sz w:val="24"/>
          <w:szCs w:val="24"/>
        </w:rPr>
      </w:pPr>
      <w:r w:rsidRPr="000C10F1">
        <w:rPr>
          <w:rFonts w:ascii="Times New Roman" w:eastAsia="Calibri" w:hAnsi="Times New Roman" w:cs="Times New Roman"/>
          <w:sz w:val="24"/>
          <w:szCs w:val="24"/>
        </w:rPr>
        <w:tab/>
      </w: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before="240" w:after="200" w:line="480" w:lineRule="auto"/>
        <w:jc w:val="center"/>
        <w:rPr>
          <w:rFonts w:ascii="Times New Roman" w:eastAsia="Calibri" w:hAnsi="Times New Roman" w:cs="Times New Roman"/>
          <w:sz w:val="24"/>
          <w:szCs w:val="24"/>
        </w:rPr>
      </w:pPr>
      <w:r w:rsidRPr="000C10F1">
        <w:rPr>
          <w:rFonts w:ascii="Times New Roman" w:eastAsia="Calibri" w:hAnsi="Times New Roman" w:cs="Times New Roman"/>
          <w:sz w:val="24"/>
          <w:szCs w:val="24"/>
        </w:rPr>
        <w:t>Healthcare</w:t>
      </w:r>
    </w:p>
    <w:p w:rsidR="000C10F1" w:rsidRPr="000C10F1" w:rsidRDefault="000C10F1" w:rsidP="000C10F1">
      <w:pPr>
        <w:spacing w:before="240" w:after="200" w:line="480" w:lineRule="auto"/>
        <w:jc w:val="center"/>
        <w:rPr>
          <w:rFonts w:ascii="Times New Roman" w:eastAsia="Calibri" w:hAnsi="Times New Roman" w:cs="Times New Roman"/>
          <w:sz w:val="24"/>
          <w:szCs w:val="24"/>
        </w:rPr>
      </w:pPr>
      <w:r w:rsidRPr="000C10F1">
        <w:rPr>
          <w:rFonts w:ascii="Times New Roman" w:eastAsia="Calibri" w:hAnsi="Times New Roman" w:cs="Times New Roman"/>
          <w:sz w:val="24"/>
          <w:szCs w:val="24"/>
        </w:rPr>
        <w:t>Student’s Name</w:t>
      </w:r>
    </w:p>
    <w:p w:rsidR="000C10F1" w:rsidRPr="000C10F1" w:rsidRDefault="000C10F1" w:rsidP="000C10F1">
      <w:pPr>
        <w:spacing w:before="240" w:after="200" w:line="480" w:lineRule="auto"/>
        <w:jc w:val="center"/>
        <w:rPr>
          <w:rFonts w:ascii="Times New Roman" w:eastAsia="Calibri" w:hAnsi="Times New Roman" w:cs="Times New Roman"/>
          <w:sz w:val="24"/>
          <w:szCs w:val="24"/>
        </w:rPr>
      </w:pPr>
      <w:r w:rsidRPr="000C10F1">
        <w:rPr>
          <w:rFonts w:ascii="Times New Roman" w:eastAsia="Calibri" w:hAnsi="Times New Roman" w:cs="Times New Roman"/>
          <w:sz w:val="24"/>
          <w:szCs w:val="24"/>
        </w:rPr>
        <w:t xml:space="preserve">Institutional Affiliation </w:t>
      </w: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after="200" w:line="480" w:lineRule="auto"/>
        <w:jc w:val="center"/>
        <w:rPr>
          <w:rFonts w:ascii="Times New Roman" w:eastAsia="Calibri" w:hAnsi="Times New Roman" w:cs="Times New Roman"/>
          <w:sz w:val="24"/>
          <w:szCs w:val="24"/>
        </w:rPr>
      </w:pPr>
    </w:p>
    <w:p w:rsidR="000C10F1" w:rsidRPr="000C10F1" w:rsidRDefault="000C10F1" w:rsidP="000C10F1">
      <w:pPr>
        <w:spacing w:line="480" w:lineRule="auto"/>
        <w:rPr>
          <w:rFonts w:ascii="Times New Roman" w:hAnsi="Times New Roman" w:cs="Times New Roman"/>
          <w:b/>
          <w:sz w:val="24"/>
          <w:szCs w:val="24"/>
        </w:rPr>
      </w:pPr>
      <w:r w:rsidRPr="000C10F1">
        <w:rPr>
          <w:rFonts w:ascii="Times New Roman" w:hAnsi="Times New Roman" w:cs="Times New Roman"/>
          <w:b/>
          <w:sz w:val="24"/>
          <w:szCs w:val="24"/>
        </w:rPr>
        <w:br w:type="page"/>
      </w:r>
    </w:p>
    <w:p w:rsidR="000C10F1" w:rsidRPr="000C10F1" w:rsidRDefault="000C10F1" w:rsidP="000C10F1">
      <w:pPr>
        <w:spacing w:line="480" w:lineRule="auto"/>
        <w:jc w:val="center"/>
        <w:rPr>
          <w:rFonts w:ascii="Times New Roman" w:hAnsi="Times New Roman" w:cs="Times New Roman"/>
          <w:sz w:val="24"/>
          <w:szCs w:val="24"/>
        </w:rPr>
      </w:pPr>
      <w:r w:rsidRPr="000C10F1">
        <w:rPr>
          <w:rFonts w:ascii="Times New Roman" w:hAnsi="Times New Roman" w:cs="Times New Roman"/>
          <w:sz w:val="24"/>
          <w:szCs w:val="24"/>
        </w:rPr>
        <w:lastRenderedPageBreak/>
        <w:t>Healthcare</w:t>
      </w:r>
    </w:p>
    <w:p w:rsidR="000C10F1" w:rsidRPr="000C10F1" w:rsidRDefault="000C10F1" w:rsidP="000C10F1">
      <w:pPr>
        <w:spacing w:line="480" w:lineRule="auto"/>
        <w:jc w:val="center"/>
        <w:rPr>
          <w:rFonts w:ascii="Times New Roman" w:hAnsi="Times New Roman" w:cs="Times New Roman"/>
          <w:b/>
          <w:sz w:val="24"/>
          <w:szCs w:val="24"/>
        </w:rPr>
      </w:pPr>
      <w:r w:rsidRPr="000C10F1">
        <w:rPr>
          <w:rFonts w:ascii="Times New Roman" w:hAnsi="Times New Roman" w:cs="Times New Roman"/>
          <w:b/>
          <w:sz w:val="24"/>
          <w:szCs w:val="24"/>
        </w:rPr>
        <w:t>Outcome Measures, Issues, and Opportunities for the Executive Leadership in Healthcare</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A conceptual framework is needed for purposes of evaluating health services and its quality in a population. The data about the quality of the healthcare can be assessed from three phases that include: Structure, Process, and Outcomes. There needs to be a good description of how health care is delivered to a population consisting of staff, financing capacity, equipment used and the hospital buildings. All the transactions that exist between the patients and the health providers throughout the process of the health care services should also be available for accountability. The outcomes are the effects the health care services provided have to the patients after the delivery from the health providers. The paper describes in detail outcome measures, issues, and opportunities for the executive leadership in Healthcare</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The healthcare sector has organizational complexities that make it generally hard to achieve its aim. The challenges are mainly based on the outcome improvements since the systems are required to have their reports yearly. Outcome measures can be used effectively in the healthcare sectors by reviewing real-world issues and opportunities. Analysis of the organizational functions, processes, and behaviors in high-performing health care provider puts the Board of Directors or Board of Trustees as the overall governing body of a hospital. The Board is organized into various committees responsible for financial activities, planning, community relations, quality assurance, and personnel management. The medical staff includes general physicians, dentists, psychologists, psychiatrists and specialty physicians such as cardiologists, dermatologists, and opticians. The team is organized into departments such as internal medicine, surgery, family practice, pediatrics, and gynecology, which are headed by departmental heads. The corporate heads report to the director of nursing, who then reports to the </w:t>
      </w:r>
      <w:r w:rsidRPr="000C10F1">
        <w:rPr>
          <w:rFonts w:ascii="Times New Roman" w:hAnsi="Times New Roman" w:cs="Times New Roman"/>
          <w:sz w:val="24"/>
          <w:szCs w:val="24"/>
        </w:rPr>
        <w:lastRenderedPageBreak/>
        <w:t>Hospital administrator, who in turn says to the board. The purpose of physician supervision and monitoring is to improve the level of medical care by ensuring that caregivers are fully competent and continuously improve their service provision. Surveillance may be used to complement an educational process for the physician, to protect patients from inadequate medical care.</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Measuring healthcare outcomes is critical in achieving the quadruple purpose of healthcare. These aims are inclusive of improvement of patient experience, enhancing health of the people, cutting on the per capita expenses of the healthcare and minimizing the clinical and workers exhaustion. Institute for Healthcare Improvement (IHI), a company geared towards achieving Triple Aim in healthcare ensures that outcomes are enhanced. It deals with testing and the implementation of changes in the health industry. The fourth aim varies depending on the company, and the measures are used to inform a team whether the changes made in the processes lead to improvements or not. Some of the reasons for the measurements of outcomes to reveal the areas that need improvements or interventions, give alternatives to care and compare the efficiency of various procedures among others. </w:t>
      </w: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The World Health Organization defines outcome measures as “change in the health of an individual, group of people, or population that is attributable to an intervention or series of interventions” (Nelson, 2015). These measures are regulated by national standards from companies such as CMS, NAHQ among others. Health systems are governed by state mandates, financial incentives, and certification needs. There are significant quality and safety outcomes and associated measures relevant to the performance gap that needs to be closed in healthcare. Below are seven outcome measures CMS practices to determine hospital value. </w:t>
      </w:r>
    </w:p>
    <w:tbl>
      <w:tblPr>
        <w:tblStyle w:val="TableGrid"/>
        <w:tblW w:w="0" w:type="auto"/>
        <w:tblLook w:val="04A0" w:firstRow="1" w:lastRow="0" w:firstColumn="1" w:lastColumn="0" w:noHBand="0" w:noVBand="1"/>
      </w:tblPr>
      <w:tblGrid>
        <w:gridCol w:w="4675"/>
        <w:gridCol w:w="4675"/>
      </w:tblGrid>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lastRenderedPageBreak/>
              <w:t>Outcome Measure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Description</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Mortality rate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 xml:space="preserve">It is a significant outcome measure in the </w:t>
            </w:r>
            <w:bookmarkStart w:id="0" w:name="_GoBack"/>
            <w:bookmarkEnd w:id="0"/>
            <w:r w:rsidRPr="000C10F1">
              <w:rPr>
                <w:rFonts w:ascii="Times New Roman" w:hAnsi="Times New Roman" w:cs="Times New Roman"/>
                <w:sz w:val="24"/>
                <w:szCs w:val="24"/>
              </w:rPr>
              <w:t>healthcare sector. According to the CMS report, Piedmont Healthcare’s proof-based care normalization for the people infected with pneumonia, lead to over fifty-six percent relative decrease in its mortality proportion.</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Safety of Care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This measure deal with health errors. Some of the commonly used safety and care outcome measures include skin breakdown as well as hospital-acquired infections (HAIs). Bacterial or fungal infections cause to patients from hospitals. Texas Children’s Hospital, for example, recognized proof-based bundles to minimize HAIs in kids by partnering with the Solutions for Patient Safety National Children’s Network. In so doing, Texas Children’s Hospital decreased HAIs by a rate of 35 percent.  Skin breakdown, on the other hand, occurs when pressure reduces the blood flow to the skin organ of the patient. Such patients have a higher risk of getting infections especially if they have a pre-</w:t>
            </w:r>
            <w:r w:rsidRPr="000C10F1">
              <w:rPr>
                <w:rFonts w:ascii="Times New Roman" w:hAnsi="Times New Roman" w:cs="Times New Roman"/>
                <w:sz w:val="24"/>
                <w:szCs w:val="24"/>
              </w:rPr>
              <w:lastRenderedPageBreak/>
              <w:t>existing condition such as diabetes and since their circulation is poor.</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lastRenderedPageBreak/>
              <w:t>Readmissions</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This measure is common and follows hospitalization of the patient. Critics argue that the outcome measure is generally expensive and can be preventable in most instances. Reports estimate that annually, about $25 and a maximum of $45 billion is paid out in complications that are preventable and pointless readmissions in hospital facilities. A good example was verified at the University of Texas Medical Branch which recorded over fourteen percent cut in monthly readmission rate which was approximately $1.9 million in budget avoidance. UTMB achieved a reduction in readmission by setting a variety of care coordination plans as well as leveraging their accuracy in data records and monitoring performance in different fields.</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Patient Experience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 xml:space="preserve">PROMs are categorized in the patient experience group. They are used to gauge patient satisfaction and allow for improvements. A patient may be used to rate </w:t>
            </w:r>
            <w:r w:rsidRPr="000C10F1">
              <w:rPr>
                <w:rFonts w:ascii="Times New Roman" w:hAnsi="Times New Roman" w:cs="Times New Roman"/>
                <w:sz w:val="24"/>
                <w:szCs w:val="24"/>
              </w:rPr>
              <w:lastRenderedPageBreak/>
              <w:t>the services they receive in a facility through a survey. The measure can also be used as equilibrium metric for work developments.</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lastRenderedPageBreak/>
              <w:t>Effectiveness of Care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It is essential to ensure that care guidelines are up to date at all times in the healthcare facilities since there are always rapid changes taking places within the sector. Clinical compliance is critical and should be closely monitored. Additionally, treatment procedures and outcomes should also be, and clinicians are informed when the guidelines need revision. Non-compliance to the proof-based guidelines has adverse effects on the patients.</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Timeliness of Care</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The outcome measure evaluates patient admission to health care. The emergency department is critical in a healthcare facility. Overcrowding in such a dangerous area has negative impacts such as increased inpatient deaths, delay of services and unnecessary costs for admitted persons.</w:t>
            </w:r>
          </w:p>
        </w:tc>
      </w:tr>
      <w:tr w:rsidR="000C10F1" w:rsidRPr="000C10F1" w:rsidTr="0047140F">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Effective Medical Imaging</w:t>
            </w:r>
          </w:p>
        </w:tc>
        <w:tc>
          <w:tcPr>
            <w:tcW w:w="4675" w:type="dxa"/>
          </w:tcPr>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 xml:space="preserve">European Science Foundation states that “Medical imaging plays a central role in the global healthcare system as it contributes to </w:t>
            </w:r>
            <w:r w:rsidRPr="000C10F1">
              <w:rPr>
                <w:rFonts w:ascii="Times New Roman" w:hAnsi="Times New Roman" w:cs="Times New Roman"/>
                <w:sz w:val="24"/>
                <w:szCs w:val="24"/>
              </w:rPr>
              <w:lastRenderedPageBreak/>
              <w:t>improved patient outcome and more cost-efficient healthcare in all major disease entities” (Kotronoulas, 2014). This measure is essential in clinical settings in ensuring patient satisfaction and improved health care.</w:t>
            </w:r>
          </w:p>
        </w:tc>
      </w:tr>
    </w:tbl>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jc w:val="center"/>
        <w:rPr>
          <w:rFonts w:ascii="Times New Roman" w:hAnsi="Times New Roman" w:cs="Times New Roman"/>
          <w:b/>
          <w:sz w:val="24"/>
          <w:szCs w:val="24"/>
        </w:rPr>
      </w:pPr>
      <w:r w:rsidRPr="000C10F1">
        <w:rPr>
          <w:rFonts w:ascii="Times New Roman" w:hAnsi="Times New Roman" w:cs="Times New Roman"/>
          <w:b/>
          <w:sz w:val="24"/>
          <w:szCs w:val="24"/>
        </w:rPr>
        <w:t>Performance Issues</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They are generally the quality and expense targets different healthcare companies aim to progress. Outcome measures are required to be conveyed to either the government, profitable financiers or companies mandated to report on quality, and a good example include the LeapFrog Group. Such companies assess the US healthcare provider’s safety and quality of service delivery. They also work towards improving transparency in services to reduce the mortality rate from medical errors and injuries hence enhancing the aspects of care delivery. </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Organizational functions, processes, and behaviors affect outcome measures associated with systemic medical errors. The most common medical errors include; Misdiagnosis, Medication error, Unnecessary tests and procedures, Infections from the hospital and Bad medical devices among others. Misdiagnosis occurs when a patient receives a wrong diagnosis. Misdiagnosis implies that the actual illness won’t be addressed immediately, which prolongs the patient’s suffering and may result in adverse consequences. Medication error, on the other hand, involves prescribing the wrong dose or failing to account for the patient’s history before prescribing medication. The error can also consist of specifying wrong drug combinations which are harmful to the patient. Unnecessary tests and procedures may involve conducting a method that is not necessary for a particular patient may put patients’ lives at risk. They may also result </w:t>
      </w:r>
      <w:r w:rsidRPr="000C10F1">
        <w:rPr>
          <w:rFonts w:ascii="Times New Roman" w:hAnsi="Times New Roman" w:cs="Times New Roman"/>
          <w:sz w:val="24"/>
          <w:szCs w:val="24"/>
        </w:rPr>
        <w:lastRenderedPageBreak/>
        <w:t xml:space="preserve">in unnecessary costs which may be easily avoided. Infections from the hospital or sometimes referred to as hospital-acquired infections result from medical procedures or hospital stay may endanger the patient’s life. Most of them are bacterial infections which can be easily prevented. Finally, dangerous medical devices involve the use of unsafe or defective medical tools, and instruments may cause serious harm to patients and doctors or caregivers. </w:t>
      </w:r>
    </w:p>
    <w:p w:rsidR="000C10F1" w:rsidRPr="000C10F1" w:rsidRDefault="000C10F1" w:rsidP="000C10F1">
      <w:pPr>
        <w:spacing w:line="480" w:lineRule="auto"/>
        <w:jc w:val="center"/>
        <w:rPr>
          <w:rFonts w:ascii="Times New Roman" w:hAnsi="Times New Roman" w:cs="Times New Roman"/>
          <w:b/>
          <w:sz w:val="24"/>
          <w:szCs w:val="24"/>
        </w:rPr>
      </w:pPr>
      <w:r w:rsidRPr="000C10F1">
        <w:rPr>
          <w:rFonts w:ascii="Times New Roman" w:hAnsi="Times New Roman" w:cs="Times New Roman"/>
          <w:b/>
          <w:sz w:val="24"/>
          <w:szCs w:val="24"/>
        </w:rPr>
        <w:t>Appropriate Change Model</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Safety culture can be adopted successfully in any organization. Some of the strategies that can be used are defining the safety responsibilities in every level of the company on policies and targets of the safety programs, sharing the vision with all the involved parties, enforcing accountability especially to the leaders, providing various options of raising concerns, educating employees on the importance of raising alarm in case there is safety issue, restructuring investigation system for effectiveness, building trust to ensure teamwork and motivate people through the process.</w:t>
      </w:r>
    </w:p>
    <w:p w:rsidR="000C10F1" w:rsidRPr="000C10F1" w:rsidRDefault="000C10F1" w:rsidP="000C10F1">
      <w:pPr>
        <w:spacing w:line="480" w:lineRule="auto"/>
        <w:jc w:val="center"/>
        <w:rPr>
          <w:rFonts w:ascii="Times New Roman" w:hAnsi="Times New Roman" w:cs="Times New Roman"/>
          <w:sz w:val="24"/>
          <w:szCs w:val="24"/>
        </w:rPr>
      </w:pPr>
      <w:r w:rsidRPr="000C10F1">
        <w:rPr>
          <w:rFonts w:ascii="Times New Roman" w:hAnsi="Times New Roman" w:cs="Times New Roman"/>
          <w:sz w:val="24"/>
          <w:szCs w:val="24"/>
        </w:rPr>
        <w:t>Always Events by Institute for Health Improvement (IHI)</w:t>
      </w: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Always Events are the patient's experience aspects that are vital to them and the healthcare providers have to perform them to the patients from time to time (Bowie, McNab, Ferguson, de Wet, Smith, MacLeod, McKay and White, 2015). The Always Events framework is essential for identification, development, and reliability of individual’s self-centered processes that need to be performed on them by the health providers. Always event also ensures that the patient experience in healthcare is improved hence improving the general outcome. Always Events also provides that the personal and family-centered goals towards health care are achieved. The criteria of the Always Events is that its objective is to improve the healthcare </w:t>
      </w:r>
      <w:r w:rsidRPr="000C10F1">
        <w:rPr>
          <w:rFonts w:ascii="Times New Roman" w:hAnsi="Times New Roman" w:cs="Times New Roman"/>
          <w:sz w:val="24"/>
          <w:szCs w:val="24"/>
        </w:rPr>
        <w:lastRenderedPageBreak/>
        <w:t>experience hence improving the outcome and acknowledging the family and the patient's respect throughout the treatment process. It also ensures that health care is affordable and sustainable for the population. The expenditures such as purchasing the equipment needed, renovations and installation of new technology in healthcare processes are also improved through Always Events.</w:t>
      </w:r>
    </w:p>
    <w:p w:rsidR="000C10F1" w:rsidRPr="000C10F1" w:rsidRDefault="000C10F1" w:rsidP="000C10F1">
      <w:pPr>
        <w:spacing w:line="480" w:lineRule="auto"/>
        <w:jc w:val="center"/>
        <w:rPr>
          <w:rFonts w:ascii="Times New Roman" w:hAnsi="Times New Roman" w:cs="Times New Roman"/>
          <w:sz w:val="24"/>
          <w:szCs w:val="24"/>
        </w:rPr>
      </w:pPr>
      <w:r w:rsidRPr="000C10F1">
        <w:rPr>
          <w:rFonts w:ascii="Times New Roman" w:hAnsi="Times New Roman" w:cs="Times New Roman"/>
          <w:sz w:val="24"/>
          <w:szCs w:val="24"/>
        </w:rPr>
        <w:t>IHI's Always Event Framework</w:t>
      </w:r>
    </w:p>
    <w:p w:rsidR="000C10F1" w:rsidRPr="000C10F1" w:rsidRDefault="000C10F1" w:rsidP="000C10F1">
      <w:pPr>
        <w:spacing w:line="480" w:lineRule="auto"/>
        <w:rPr>
          <w:rFonts w:ascii="Times New Roman" w:hAnsi="Times New Roman" w:cs="Times New Roman"/>
          <w:sz w:val="24"/>
          <w:szCs w:val="24"/>
        </w:rPr>
      </w:pPr>
      <w:r w:rsidRPr="000C10F1">
        <w:rPr>
          <w:rFonts w:ascii="Times New Roman" w:eastAsia="Times New Roman" w:hAnsi="Times New Roman" w:cs="Times New Roman"/>
          <w:noProof/>
          <w:color w:val="676767"/>
          <w:sz w:val="24"/>
          <w:szCs w:val="24"/>
        </w:rPr>
        <w:drawing>
          <wp:inline distT="0" distB="0" distL="0" distR="0" wp14:anchorId="02B4DAF2" wp14:editId="6F4015C2">
            <wp:extent cx="4572000" cy="3429000"/>
            <wp:effectExtent l="0" t="0" r="0" b="0"/>
            <wp:docPr id="1" name="Picture 1" descr="IHIAlwaysEventsFramew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IAlwaysEventsFramework.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t xml:space="preserve"> </w:t>
      </w: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ind w:firstLine="720"/>
        <w:rPr>
          <w:rFonts w:ascii="Times New Roman" w:hAnsi="Times New Roman" w:cs="Times New Roman"/>
          <w:sz w:val="24"/>
          <w:szCs w:val="24"/>
        </w:rPr>
      </w:pPr>
      <w:r w:rsidRPr="000C10F1">
        <w:rPr>
          <w:rFonts w:ascii="Times New Roman" w:hAnsi="Times New Roman" w:cs="Times New Roman"/>
          <w:sz w:val="24"/>
          <w:szCs w:val="24"/>
        </w:rPr>
        <w:t xml:space="preserve">In every health care setting, patient satisfaction is critical. Achieving the best practices in a health system faces many barriers that range from cultural to technical. However, </w:t>
      </w:r>
      <w:r w:rsidRPr="000C10F1">
        <w:rPr>
          <w:rFonts w:ascii="Times New Roman" w:hAnsi="Times New Roman" w:cs="Times New Roman"/>
          <w:sz w:val="24"/>
          <w:szCs w:val="24"/>
        </w:rPr>
        <w:lastRenderedPageBreak/>
        <w:t>improvements are vital and need to be made and sustained at all times. Organization needs can be met through creating a culture that aims at early detection of problems and continuous implementation of standardized tools. Clinical, financial and patient satisfaction are vital areas that need to continually be revised to achieve the goals of health care facilities.</w:t>
      </w:r>
    </w:p>
    <w:p w:rsidR="000C10F1" w:rsidRPr="000C10F1" w:rsidRDefault="000C10F1" w:rsidP="000C10F1">
      <w:pPr>
        <w:spacing w:line="480" w:lineRule="auto"/>
        <w:rPr>
          <w:rFonts w:ascii="Times New Roman" w:hAnsi="Times New Roman" w:cs="Times New Roman"/>
          <w:sz w:val="24"/>
          <w:szCs w:val="24"/>
        </w:rPr>
      </w:pPr>
      <w:r w:rsidRPr="000C10F1">
        <w:rPr>
          <w:rFonts w:ascii="Times New Roman" w:hAnsi="Times New Roman" w:cs="Times New Roman"/>
          <w:sz w:val="24"/>
          <w:szCs w:val="24"/>
        </w:rPr>
        <w:br w:type="page"/>
      </w:r>
    </w:p>
    <w:p w:rsidR="000C10F1" w:rsidRPr="000C10F1" w:rsidRDefault="000C10F1" w:rsidP="000C10F1">
      <w:pPr>
        <w:spacing w:line="480" w:lineRule="auto"/>
        <w:jc w:val="center"/>
        <w:rPr>
          <w:rFonts w:ascii="Times New Roman" w:hAnsi="Times New Roman" w:cs="Times New Roman"/>
          <w:b/>
          <w:sz w:val="24"/>
          <w:szCs w:val="24"/>
        </w:rPr>
      </w:pPr>
      <w:r w:rsidRPr="000C10F1">
        <w:rPr>
          <w:rFonts w:ascii="Times New Roman" w:hAnsi="Times New Roman" w:cs="Times New Roman"/>
          <w:b/>
          <w:sz w:val="24"/>
          <w:szCs w:val="24"/>
        </w:rPr>
        <w:lastRenderedPageBreak/>
        <w:t>References</w:t>
      </w:r>
    </w:p>
    <w:p w:rsidR="000C10F1" w:rsidRPr="000C10F1" w:rsidRDefault="000C10F1" w:rsidP="000C10F1">
      <w:pPr>
        <w:spacing w:line="480" w:lineRule="auto"/>
        <w:ind w:left="720" w:hanging="720"/>
        <w:rPr>
          <w:rFonts w:ascii="Times New Roman" w:hAnsi="Times New Roman" w:cs="Times New Roman"/>
          <w:color w:val="222222"/>
          <w:sz w:val="24"/>
          <w:szCs w:val="24"/>
          <w:shd w:val="clear" w:color="auto" w:fill="FFFFFF"/>
        </w:rPr>
      </w:pPr>
      <w:r w:rsidRPr="000C10F1">
        <w:rPr>
          <w:rFonts w:ascii="Times New Roman" w:hAnsi="Times New Roman" w:cs="Times New Roman"/>
          <w:color w:val="222222"/>
          <w:sz w:val="24"/>
          <w:szCs w:val="24"/>
          <w:shd w:val="clear" w:color="auto" w:fill="FFFFFF"/>
        </w:rPr>
        <w:t>Bowie, P., McNab, D., Ferguson, J., de Wet, C., Smith, G., MacLeod, M., McKay, J. and White, C. (2015). Quality improvement and person-centredness: a participatory mixed methods study to develop the ‘always event’concept for primary care. </w:t>
      </w:r>
      <w:r w:rsidRPr="000C10F1">
        <w:rPr>
          <w:rFonts w:ascii="Times New Roman" w:hAnsi="Times New Roman" w:cs="Times New Roman"/>
          <w:i/>
          <w:iCs/>
          <w:color w:val="222222"/>
          <w:sz w:val="24"/>
          <w:szCs w:val="24"/>
          <w:shd w:val="clear" w:color="auto" w:fill="FFFFFF"/>
        </w:rPr>
        <w:t>BMJ open</w:t>
      </w:r>
      <w:r w:rsidRPr="000C10F1">
        <w:rPr>
          <w:rFonts w:ascii="Times New Roman" w:hAnsi="Times New Roman" w:cs="Times New Roman"/>
          <w:color w:val="222222"/>
          <w:sz w:val="24"/>
          <w:szCs w:val="24"/>
          <w:shd w:val="clear" w:color="auto" w:fill="FFFFFF"/>
        </w:rPr>
        <w:t>, </w:t>
      </w:r>
      <w:r w:rsidRPr="000C10F1">
        <w:rPr>
          <w:rFonts w:ascii="Times New Roman" w:hAnsi="Times New Roman" w:cs="Times New Roman"/>
          <w:i/>
          <w:iCs/>
          <w:color w:val="222222"/>
          <w:sz w:val="24"/>
          <w:szCs w:val="24"/>
          <w:shd w:val="clear" w:color="auto" w:fill="FFFFFF"/>
        </w:rPr>
        <w:t>5</w:t>
      </w:r>
      <w:r w:rsidRPr="000C10F1">
        <w:rPr>
          <w:rFonts w:ascii="Times New Roman" w:hAnsi="Times New Roman" w:cs="Times New Roman"/>
          <w:color w:val="222222"/>
          <w:sz w:val="24"/>
          <w:szCs w:val="24"/>
          <w:shd w:val="clear" w:color="auto" w:fill="FFFFFF"/>
        </w:rPr>
        <w:t>(4), e006667.</w:t>
      </w:r>
    </w:p>
    <w:p w:rsidR="000C10F1" w:rsidRPr="000C10F1" w:rsidRDefault="000C10F1" w:rsidP="000C10F1">
      <w:pPr>
        <w:spacing w:line="480" w:lineRule="auto"/>
        <w:ind w:left="720" w:hanging="720"/>
        <w:rPr>
          <w:rFonts w:ascii="Times New Roman" w:hAnsi="Times New Roman" w:cs="Times New Roman"/>
          <w:color w:val="222222"/>
          <w:sz w:val="24"/>
          <w:szCs w:val="24"/>
          <w:shd w:val="clear" w:color="auto" w:fill="FFFFFF"/>
        </w:rPr>
      </w:pPr>
      <w:r w:rsidRPr="000C10F1">
        <w:rPr>
          <w:rFonts w:ascii="Times New Roman" w:hAnsi="Times New Roman" w:cs="Times New Roman"/>
          <w:color w:val="222222"/>
          <w:sz w:val="24"/>
          <w:szCs w:val="24"/>
          <w:shd w:val="clear" w:color="auto" w:fill="FFFFFF"/>
        </w:rPr>
        <w:t>Kotronoulas, G., Kearney, N., Maguire, R., Harrow, A., Di Domenico, D., Croy, S., &amp; MacGillivray, S. (2014). What is the value of the routine use of patient-reported outcome measures toward improvement of patient outcomes, processes of care, and health service outcomes in cancer care? A systematic review of controlled trials. </w:t>
      </w:r>
      <w:r w:rsidRPr="000C10F1">
        <w:rPr>
          <w:rFonts w:ascii="Times New Roman" w:hAnsi="Times New Roman" w:cs="Times New Roman"/>
          <w:i/>
          <w:iCs/>
          <w:color w:val="222222"/>
          <w:sz w:val="24"/>
          <w:szCs w:val="24"/>
          <w:shd w:val="clear" w:color="auto" w:fill="FFFFFF"/>
        </w:rPr>
        <w:t>Journal of clinical oncology</w:t>
      </w:r>
      <w:r w:rsidRPr="000C10F1">
        <w:rPr>
          <w:rFonts w:ascii="Times New Roman" w:hAnsi="Times New Roman" w:cs="Times New Roman"/>
          <w:color w:val="222222"/>
          <w:sz w:val="24"/>
          <w:szCs w:val="24"/>
          <w:shd w:val="clear" w:color="auto" w:fill="FFFFFF"/>
        </w:rPr>
        <w:t>, </w:t>
      </w:r>
      <w:r w:rsidRPr="000C10F1">
        <w:rPr>
          <w:rFonts w:ascii="Times New Roman" w:hAnsi="Times New Roman" w:cs="Times New Roman"/>
          <w:i/>
          <w:iCs/>
          <w:color w:val="222222"/>
          <w:sz w:val="24"/>
          <w:szCs w:val="24"/>
          <w:shd w:val="clear" w:color="auto" w:fill="FFFFFF"/>
        </w:rPr>
        <w:t>32</w:t>
      </w:r>
      <w:r w:rsidRPr="000C10F1">
        <w:rPr>
          <w:rFonts w:ascii="Times New Roman" w:hAnsi="Times New Roman" w:cs="Times New Roman"/>
          <w:color w:val="222222"/>
          <w:sz w:val="24"/>
          <w:szCs w:val="24"/>
          <w:shd w:val="clear" w:color="auto" w:fill="FFFFFF"/>
        </w:rPr>
        <w:t>(14), 1480-1510.</w:t>
      </w:r>
    </w:p>
    <w:p w:rsidR="000C10F1" w:rsidRPr="000C10F1" w:rsidRDefault="000C10F1" w:rsidP="000C10F1">
      <w:pPr>
        <w:spacing w:line="480" w:lineRule="auto"/>
        <w:ind w:left="720" w:hanging="720"/>
        <w:rPr>
          <w:rFonts w:ascii="Times New Roman" w:hAnsi="Times New Roman" w:cs="Times New Roman"/>
          <w:sz w:val="24"/>
          <w:szCs w:val="24"/>
        </w:rPr>
      </w:pPr>
      <w:r w:rsidRPr="000C10F1">
        <w:rPr>
          <w:rFonts w:ascii="Times New Roman" w:hAnsi="Times New Roman" w:cs="Times New Roman"/>
          <w:color w:val="222222"/>
          <w:sz w:val="24"/>
          <w:szCs w:val="24"/>
          <w:shd w:val="clear" w:color="auto" w:fill="FFFFFF"/>
        </w:rPr>
        <w:t>Nelson, E. C., Eftimovska, E., Lind, C., Hager, A., Wasson, J. H., &amp; Lindblad, S. (2015). Patient reported outcome measures in practice. </w:t>
      </w:r>
      <w:r w:rsidRPr="000C10F1">
        <w:rPr>
          <w:rFonts w:ascii="Times New Roman" w:hAnsi="Times New Roman" w:cs="Times New Roman"/>
          <w:i/>
          <w:iCs/>
          <w:color w:val="222222"/>
          <w:sz w:val="24"/>
          <w:szCs w:val="24"/>
          <w:shd w:val="clear" w:color="auto" w:fill="FFFFFF"/>
        </w:rPr>
        <w:t>Bmj</w:t>
      </w:r>
      <w:r w:rsidRPr="000C10F1">
        <w:rPr>
          <w:rFonts w:ascii="Times New Roman" w:hAnsi="Times New Roman" w:cs="Times New Roman"/>
          <w:color w:val="222222"/>
          <w:sz w:val="24"/>
          <w:szCs w:val="24"/>
          <w:shd w:val="clear" w:color="auto" w:fill="FFFFFF"/>
        </w:rPr>
        <w:t>, </w:t>
      </w:r>
      <w:r w:rsidRPr="000C10F1">
        <w:rPr>
          <w:rFonts w:ascii="Times New Roman" w:hAnsi="Times New Roman" w:cs="Times New Roman"/>
          <w:i/>
          <w:iCs/>
          <w:color w:val="222222"/>
          <w:sz w:val="24"/>
          <w:szCs w:val="24"/>
          <w:shd w:val="clear" w:color="auto" w:fill="FFFFFF"/>
        </w:rPr>
        <w:t>350</w:t>
      </w:r>
      <w:r w:rsidRPr="000C10F1">
        <w:rPr>
          <w:rFonts w:ascii="Times New Roman" w:hAnsi="Times New Roman" w:cs="Times New Roman"/>
          <w:color w:val="222222"/>
          <w:sz w:val="24"/>
          <w:szCs w:val="24"/>
          <w:shd w:val="clear" w:color="auto" w:fill="FFFFFF"/>
        </w:rPr>
        <w:t>, g7818.</w:t>
      </w: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rPr>
          <w:rFonts w:ascii="Times New Roman" w:hAnsi="Times New Roman" w:cs="Times New Roman"/>
          <w:sz w:val="24"/>
          <w:szCs w:val="24"/>
        </w:rPr>
      </w:pPr>
    </w:p>
    <w:p w:rsidR="000C10F1" w:rsidRPr="000C10F1" w:rsidRDefault="000C10F1" w:rsidP="000C10F1">
      <w:pPr>
        <w:spacing w:line="480" w:lineRule="auto"/>
        <w:rPr>
          <w:rFonts w:ascii="Times New Roman" w:hAnsi="Times New Roman" w:cs="Times New Roman"/>
          <w:sz w:val="24"/>
          <w:szCs w:val="24"/>
        </w:rPr>
      </w:pPr>
    </w:p>
    <w:p w:rsidR="001F5FDA" w:rsidRPr="000C10F1" w:rsidRDefault="001F5FDA" w:rsidP="000C10F1"/>
    <w:sectPr w:rsidR="001F5FDA" w:rsidRPr="000C10F1"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1B3" w:rsidRDefault="00B521B3">
      <w:pPr>
        <w:spacing w:after="0" w:line="240" w:lineRule="auto"/>
      </w:pPr>
      <w:r>
        <w:separator/>
      </w:r>
    </w:p>
  </w:endnote>
  <w:endnote w:type="continuationSeparator" w:id="0">
    <w:p w:rsidR="00B521B3" w:rsidRDefault="00B5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1B3" w:rsidRDefault="00B521B3">
      <w:pPr>
        <w:spacing w:after="0" w:line="240" w:lineRule="auto"/>
      </w:pPr>
      <w:r>
        <w:separator/>
      </w:r>
    </w:p>
  </w:footnote>
  <w:footnote w:type="continuationSeparator" w:id="0">
    <w:p w:rsidR="00B521B3" w:rsidRDefault="00B521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0C10F1">
    <w:pPr>
      <w:pStyle w:val="Header"/>
      <w:jc w:val="right"/>
    </w:pPr>
    <w:r>
      <w:rPr>
        <w:rFonts w:ascii="Times New Roman" w:hAnsi="Times New Roman" w:cs="Times New Roman"/>
        <w:sz w:val="24"/>
        <w:szCs w:val="24"/>
      </w:rPr>
      <w:t>HEALTHCARE</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B137D0">
      <w:rPr>
        <w:rFonts w:ascii="Times New Roman" w:hAnsi="Times New Roman" w:cs="Times New Roman"/>
        <w:noProof/>
        <w:sz w:val="24"/>
        <w:szCs w:val="24"/>
      </w:rPr>
      <w:t>4</w:t>
    </w:r>
    <w:r w:rsidRPr="007F05A5">
      <w:rPr>
        <w:rFonts w:ascii="Times New Roman" w:hAnsi="Times New Roman" w:cs="Times New Roman"/>
        <w:noProof/>
        <w:sz w:val="24"/>
        <w:szCs w:val="24"/>
      </w:rPr>
      <w:fldChar w:fldCharType="end"/>
    </w:r>
  </w:p>
  <w:p w:rsidR="007F05A5" w:rsidRDefault="00B521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0C10F1">
    <w:pPr>
      <w:pStyle w:val="Header"/>
      <w:jc w:val="right"/>
    </w:pPr>
    <w:r>
      <w:rPr>
        <w:rFonts w:ascii="Times New Roman" w:hAnsi="Times New Roman" w:cs="Times New Roman"/>
        <w:sz w:val="24"/>
        <w:szCs w:val="24"/>
      </w:rPr>
      <w:t>Running head: HEALTHCARE</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B137D0">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B521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F07"/>
    <w:rsid w:val="000158EA"/>
    <w:rsid w:val="00061169"/>
    <w:rsid w:val="00090C8A"/>
    <w:rsid w:val="000C10F1"/>
    <w:rsid w:val="000C165C"/>
    <w:rsid w:val="000E29D2"/>
    <w:rsid w:val="001A1E0B"/>
    <w:rsid w:val="001E1FD7"/>
    <w:rsid w:val="001F5FDA"/>
    <w:rsid w:val="002B692A"/>
    <w:rsid w:val="002F5F82"/>
    <w:rsid w:val="002F7A6C"/>
    <w:rsid w:val="00322FC0"/>
    <w:rsid w:val="0037690A"/>
    <w:rsid w:val="003F5F43"/>
    <w:rsid w:val="0046205E"/>
    <w:rsid w:val="00574DC4"/>
    <w:rsid w:val="005D2872"/>
    <w:rsid w:val="00657F7D"/>
    <w:rsid w:val="007F4652"/>
    <w:rsid w:val="009C45F2"/>
    <w:rsid w:val="00B137D0"/>
    <w:rsid w:val="00B521B3"/>
    <w:rsid w:val="00B67CC8"/>
    <w:rsid w:val="00D5206B"/>
    <w:rsid w:val="00E275B1"/>
    <w:rsid w:val="00ED6080"/>
    <w:rsid w:val="00ED7F07"/>
    <w:rsid w:val="00FD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06F45-4E58-48E8-87F9-391C0AF6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2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10F1"/>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0C10F1"/>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1847</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2019-04-10T20:00:00Z</dcterms:created>
  <dcterms:modified xsi:type="dcterms:W3CDTF">2019-04-10T20:00:00Z</dcterms:modified>
</cp:coreProperties>
</file>